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4E" w:rsidRPr="009D5A4E" w:rsidRDefault="009D5A4E" w:rsidP="009D5A4E">
      <w:pPr>
        <w:spacing w:after="0"/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val="es-ES" w:eastAsia="es-AR"/>
        </w:rPr>
      </w:pPr>
      <w:r w:rsidRPr="009D5A4E">
        <w:rPr>
          <w:rFonts w:ascii="Helvetica" w:eastAsia="Times New Roman" w:hAnsi="Helvetica" w:cs="Times New Roman"/>
          <w:b/>
          <w:bCs/>
          <w:i/>
          <w:iCs/>
          <w:color w:val="222222"/>
          <w:sz w:val="36"/>
          <w:szCs w:val="36"/>
          <w:lang w:val="es-ES" w:eastAsia="es-AR"/>
        </w:rPr>
        <w:t>16</w:t>
      </w:r>
      <w:r>
        <w:rPr>
          <w:rFonts w:ascii="Helvetica" w:eastAsia="Times New Roman" w:hAnsi="Helvetica" w:cs="Times New Roman"/>
          <w:b/>
          <w:bCs/>
          <w:i/>
          <w:iCs/>
          <w:color w:val="222222"/>
          <w:sz w:val="36"/>
          <w:szCs w:val="36"/>
          <w:lang w:val="es-ES" w:eastAsia="es-AR"/>
        </w:rPr>
        <w:t xml:space="preserve"> de agosto,</w:t>
      </w:r>
      <w:r w:rsidRPr="009D5A4E">
        <w:rPr>
          <w:rFonts w:ascii="Helvetica" w:eastAsia="Times New Roman" w:hAnsi="Helvetica" w:cs="Times New Roman"/>
          <w:b/>
          <w:bCs/>
          <w:i/>
          <w:iCs/>
          <w:color w:val="222222"/>
          <w:sz w:val="36"/>
          <w:szCs w:val="36"/>
          <w:lang w:val="es-ES" w:eastAsia="es-AR"/>
        </w:rPr>
        <w:t xml:space="preserve"> Plenario Nacional del sindicalismo combativo </w:t>
      </w:r>
    </w:p>
    <w:p w:rsidR="009D5A4E" w:rsidRPr="009D5A4E" w:rsidRDefault="009D5A4E" w:rsidP="009D5A4E">
      <w:pPr>
        <w:spacing w:after="0"/>
        <w:rPr>
          <w:rFonts w:ascii="Helvetica" w:eastAsia="Times New Roman" w:hAnsi="Helvetica" w:cs="Times New Roman"/>
          <w:b/>
          <w:bCs/>
          <w:iCs/>
          <w:sz w:val="50"/>
          <w:szCs w:val="50"/>
          <w:lang w:val="es-ES" w:eastAsia="es-AR"/>
        </w:rPr>
      </w:pPr>
      <w:r w:rsidRPr="009D5A4E">
        <w:rPr>
          <w:rFonts w:ascii="Helvetica" w:eastAsia="Times New Roman" w:hAnsi="Helvetica" w:cs="Times New Roman"/>
          <w:b/>
          <w:bCs/>
          <w:iCs/>
          <w:sz w:val="50"/>
          <w:szCs w:val="50"/>
          <w:lang w:val="es-ES" w:eastAsia="es-AR"/>
        </w:rPr>
        <w:t>Rubén Sobrero: “Que la CGT rompa el pacto y convoque al paro de 36 horas”</w:t>
      </w:r>
    </w:p>
    <w:p w:rsidR="001441BE" w:rsidRDefault="001441BE" w:rsidP="00C11A8D">
      <w:pPr>
        <w:spacing w:after="0"/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Este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sábado 16 de agosto, desde las 10:30 horas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, se realizará en la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Facultad de Ciencias Sociales de la UBA 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(Santiago del Estero 1029 -CABA) el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Plenario Nacional del Sindicalismo Combativo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. Vendrán delegaciones de distintos lugares del país (ver lista de convocantes</w:t>
      </w:r>
      <w:r w:rsidRPr="009D5A4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*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)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Estarán presentes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Rubén "Pollo" Sobrero 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y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Mónica Schlotthauer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 (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Unión Ferroviaria Seccional Oeste 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y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 cuerpo de delegados Ferrocarril Sarmiento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); </w:t>
      </w:r>
      <w:proofErr w:type="spellStart"/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Ademys</w:t>
      </w:r>
      <w:proofErr w:type="spellEnd"/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 CABA con su secretaria general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 xml:space="preserve">Mariana </w:t>
      </w:r>
      <w:proofErr w:type="spellStart"/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Scayola</w:t>
      </w:r>
      <w:proofErr w:type="spellEnd"/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;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ATEN Capital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, con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Angélica Lagunas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;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Pablo Almeida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, delegado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 xml:space="preserve">ATE </w:t>
      </w:r>
      <w:proofErr w:type="spellStart"/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Mecon</w:t>
      </w:r>
      <w:proofErr w:type="spellEnd"/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,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SAE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 de La Rioja, con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Carolina Goycochea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; </w:t>
      </w:r>
      <w:r w:rsidRPr="009D5A4E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/>
        </w:rPr>
        <w:t>Ana Valverde</w:t>
      </w:r>
      <w:r w:rsidRPr="009D5A4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 de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</w:t>
      </w:r>
      <w:r w:rsidRPr="009D5A4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UTJEL</w:t>
      </w:r>
      <w:r w:rsidRPr="00205161">
        <w:rPr>
          <w:rFonts w:ascii="Helvetica" w:hAnsi="Helvetica"/>
          <w:sz w:val="24"/>
          <w:szCs w:val="24"/>
          <w:lang w:val="es-ES"/>
        </w:rPr>
        <w:t>,</w:t>
      </w:r>
      <w:r w:rsidRPr="009D5A4E">
        <w:rPr>
          <w:rFonts w:ascii="Helvetica" w:hAnsi="Helvetica"/>
          <w:sz w:val="24"/>
          <w:szCs w:val="24"/>
          <w:lang w:val="es-ES"/>
        </w:rPr>
        <w:t xml:space="preserve"> entre otras y otros importantes referentes. 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>
        <w:rPr>
          <w:rFonts w:ascii="Helvetica" w:hAnsi="Helvetica"/>
          <w:b/>
          <w:bCs/>
          <w:sz w:val="24"/>
          <w:szCs w:val="24"/>
          <w:lang w:val="es-ES"/>
        </w:rPr>
        <w:t>Rubén “</w:t>
      </w:r>
      <w:r w:rsidRPr="009D5A4E">
        <w:rPr>
          <w:rFonts w:ascii="Helvetica" w:hAnsi="Helvetica"/>
          <w:b/>
          <w:bCs/>
          <w:sz w:val="24"/>
          <w:szCs w:val="24"/>
          <w:lang w:val="es-ES"/>
        </w:rPr>
        <w:t>Pollo</w:t>
      </w:r>
      <w:r>
        <w:rPr>
          <w:rFonts w:ascii="Helvetica" w:hAnsi="Helvetica"/>
          <w:b/>
          <w:bCs/>
          <w:sz w:val="24"/>
          <w:szCs w:val="24"/>
          <w:lang w:val="es-ES"/>
        </w:rPr>
        <w:t>”</w:t>
      </w:r>
      <w:r w:rsidRPr="009D5A4E">
        <w:rPr>
          <w:rFonts w:ascii="Helvetica" w:hAnsi="Helvetica"/>
          <w:b/>
          <w:bCs/>
          <w:sz w:val="24"/>
          <w:szCs w:val="24"/>
          <w:lang w:val="es-ES"/>
        </w:rPr>
        <w:t xml:space="preserve"> Sobrero</w:t>
      </w:r>
      <w:r w:rsidRPr="009D5A4E">
        <w:rPr>
          <w:rFonts w:ascii="Helvetica" w:hAnsi="Helvetica"/>
          <w:sz w:val="24"/>
          <w:szCs w:val="24"/>
          <w:lang w:val="es-ES"/>
        </w:rPr>
        <w:t> (Secretario General Unión Ferroviaria Seccional Oeste, dirigente de la corriente A Luchar y de Izquierda Socialista/FIT Unidad), dijo:</w:t>
      </w:r>
      <w:r>
        <w:rPr>
          <w:rFonts w:ascii="Helvetica" w:hAnsi="Helvetica"/>
          <w:i/>
          <w:iCs/>
          <w:sz w:val="24"/>
          <w:szCs w:val="24"/>
          <w:lang w:val="es-ES"/>
        </w:rPr>
        <w:t> “</w:t>
      </w:r>
      <w:r w:rsidRPr="009D5A4E">
        <w:rPr>
          <w:rFonts w:ascii="Helvetica" w:hAnsi="Helvetica"/>
          <w:i/>
          <w:iCs/>
          <w:sz w:val="24"/>
          <w:szCs w:val="24"/>
          <w:lang w:val="es-ES"/>
        </w:rPr>
        <w:t>Desde el sindicalismo combativo exigimos a la CGT que abandone el pacto con el gobierno y convoque a un nuevo paro de 36 horas. Porque solo un plan de lucha nacional puede derrotar el plan motosierra de Milei, los gobernadores y el FMI</w:t>
      </w:r>
      <w:r>
        <w:rPr>
          <w:rFonts w:ascii="Helvetica" w:hAnsi="Helvetica"/>
          <w:i/>
          <w:iCs/>
          <w:sz w:val="24"/>
          <w:szCs w:val="24"/>
          <w:lang w:val="es-ES"/>
        </w:rPr>
        <w:t>”</w:t>
      </w:r>
      <w:r w:rsidRPr="009D5A4E">
        <w:rPr>
          <w:rFonts w:ascii="Helvetica" w:hAnsi="Helvetica"/>
          <w:i/>
          <w:iCs/>
          <w:sz w:val="24"/>
          <w:szCs w:val="24"/>
          <w:lang w:val="es-ES"/>
        </w:rPr>
        <w:t>.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b/>
          <w:bCs/>
          <w:sz w:val="24"/>
          <w:szCs w:val="24"/>
          <w:lang w:val="es-ES"/>
        </w:rPr>
        <w:t>Sobrero</w:t>
      </w:r>
      <w:r w:rsidRPr="009D5A4E">
        <w:rPr>
          <w:rFonts w:ascii="Helvetica" w:hAnsi="Helvetica"/>
          <w:sz w:val="24"/>
          <w:szCs w:val="24"/>
          <w:lang w:val="es-ES"/>
        </w:rPr>
        <w:t> finalizó: </w:t>
      </w:r>
      <w:r w:rsidRPr="009D5A4E">
        <w:rPr>
          <w:rFonts w:ascii="Helvetica" w:hAnsi="Helvetica"/>
          <w:i/>
          <w:iCs/>
          <w:sz w:val="24"/>
          <w:szCs w:val="24"/>
          <w:lang w:val="es-ES"/>
        </w:rPr>
        <w:t>“Este plenario tiene el objetivo de unir y coordinar las luchas y dar pasos en lograr una nueva dirección combativa y democrática para el movimiento obrero. En ese sentido vamos a avanzar en la constitución de una Coordinadora Permanente que asuma esas tareas, en pelea contra las patronales, el gobierno y la burocracia sindical”.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b/>
          <w:bCs/>
          <w:sz w:val="24"/>
          <w:szCs w:val="24"/>
          <w:lang w:val="es-ES"/>
        </w:rPr>
        <w:t>Contactos para notas y entrevistas</w:t>
      </w:r>
      <w:r w:rsidRPr="009D5A4E">
        <w:rPr>
          <w:rFonts w:ascii="Helvetica" w:hAnsi="Helvetica"/>
          <w:sz w:val="24"/>
          <w:szCs w:val="24"/>
          <w:lang w:val="es-ES"/>
        </w:rPr>
        <w:t>: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Rubén "Pollo" Sobrero (Sec. Gral. UF Oeste):11 6422-6661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Mónica Schlotthauer (Delegada del FFCC Sarmiento): 11 6458-5777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 xml:space="preserve">Mariana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Scayola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(Sec. Gral.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Ademys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>): 11 5809-1185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 xml:space="preserve">Angélica Lagunas (Sec.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Gral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ATEN Capital): 299 456-8326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Pablo Almeida (Delegado Gral. ATE MECON): 11 3377-0008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Ana Valverde (UTJEL): 11 5736-9208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Prensa de Izquierda Socialista: 11 6054-0129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*</w:t>
      </w:r>
      <w:r w:rsidRPr="009D5A4E">
        <w:rPr>
          <w:rFonts w:ascii="Helvetica" w:hAnsi="Helvetica"/>
          <w:b/>
          <w:bCs/>
          <w:sz w:val="24"/>
          <w:szCs w:val="24"/>
          <w:lang w:val="es-ES"/>
        </w:rPr>
        <w:t>Lista de convocantes 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 xml:space="preserve">Unión Ferroviaria Seccional Oeste y cuerpo de delegados Ferrocarril Sarmiento,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Sutna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(Nacional), ATEN Capital (Neuquén), AGD UBA (Bs.As.),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Ademys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(CABA), Directiva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Adosac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(Santa Cruz), UEPC Capital (Córdoba), </w:t>
      </w:r>
      <w:r w:rsidRPr="009D5A4E">
        <w:rPr>
          <w:rFonts w:ascii="Helvetica" w:hAnsi="Helvetica"/>
          <w:sz w:val="24"/>
          <w:szCs w:val="24"/>
          <w:lang w:val="es-ES"/>
        </w:rPr>
        <w:lastRenderedPageBreak/>
        <w:t xml:space="preserve">ATEN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Plottier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(Neuquén), Sindicato Químicos (Córdoba), ATE Río Tercero (Córdoba), Sindicato Tucumano Enfermeros (SITE, Tucumán), Unión Trabajadores de la Salud-UTS (Córdoba), Sindicato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Autoconvocados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Educación (SAE, La Rioja), Junta Interna ATE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Garrahan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ATE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Mecon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Junta interna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Incaa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delegados Luz y Fuerza (Córdoba), Comisión Interna No docentes Facultad Sociales UBA, Comisión Interna gráfica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Morvillo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(Bs.As.), Junta Interna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Incaa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delegados Hospital Italiano, Lista Bordó, Minoría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Foetra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Minoría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Adunc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(Docentes universitarios-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Comahue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), asentamiento Neuquén-Minoría Naranja Fucsia (Docentes universitarios Luján) en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Adunlu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Asociación actores (Delegación Salta), Comisión interna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Textilana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Minoría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Agmer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(Concepción del Uruguay), Comisión interna GPS (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Tercerizados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Aerolíneas), Sindicato Vialidad La Rioja,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Apinta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Alto Valle,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Uatre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Ledesma, Despedidos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Georgalos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, Asamblea trabajadores despedidos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Secco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>, Polo Obrero, MTR 12 de abril, MST Teresa Vive, Unión Trabajadores Jubilados en Lucha (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Utjel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), Plenario Trabajadores Jubilados (PTJ),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Jubiladxs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de Izquierda. Adhieren: Mesa Coordinadora Nacional de Jubilados, Ancla MST, A Luchar Izquierda Socialista, CSC PO,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Aduns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-Docentes Universitarios Bahía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Blancа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>, Asamblea multisectorial INTI, Encuentro Jubilados de Asambleas Barriales.</w:t>
      </w:r>
    </w:p>
    <w:p w:rsidR="0064751B" w:rsidRDefault="0064751B">
      <w:pPr>
        <w:spacing w:after="0" w:line="432" w:lineRule="auto"/>
        <w:rPr>
          <w:rFonts w:ascii="Arial;Helvetica;sans-serif" w:hAnsi="Arial;Helvetica;sans-serif"/>
          <w:color w:val="222222"/>
          <w:sz w:val="24"/>
        </w:rPr>
      </w:pPr>
    </w:p>
    <w:p w:rsidR="0064751B" w:rsidRDefault="005F04D0">
      <w:pPr>
        <w:spacing w:after="0" w:line="432" w:lineRule="auto"/>
        <w:rPr>
          <w:rFonts w:ascii="Helvetica" w:hAnsi="Helvetica"/>
          <w:b/>
          <w:sz w:val="24"/>
          <w:szCs w:val="24"/>
        </w:rPr>
      </w:pPr>
      <w:r w:rsidRPr="005B2EB5">
        <w:rPr>
          <w:rFonts w:ascii="Helvetica" w:hAnsi="Helvetica"/>
          <w:color w:val="222222"/>
          <w:sz w:val="24"/>
          <w:szCs w:val="24"/>
        </w:rPr>
        <w:t xml:space="preserve">Comunicado </w:t>
      </w:r>
      <w:hyperlink r:id="rId4" w:history="1">
        <w:r w:rsidRPr="005E3FE9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:rsidR="00BC5C26" w:rsidRDefault="00BC5C26">
      <w:pPr>
        <w:spacing w:after="0" w:line="432" w:lineRule="auto"/>
        <w:rPr>
          <w:rFonts w:ascii="Helvetica" w:hAnsi="Helvetica"/>
          <w:b/>
          <w:sz w:val="24"/>
          <w:szCs w:val="24"/>
        </w:rPr>
      </w:pPr>
    </w:p>
    <w:p w:rsidR="00BC5C26" w:rsidRDefault="00BC5C26">
      <w:pPr>
        <w:spacing w:after="0" w:line="432" w:lineRule="auto"/>
        <w:rPr>
          <w:rFonts w:ascii="Helvetica" w:hAnsi="Helvetica"/>
          <w:b/>
          <w:sz w:val="24"/>
          <w:szCs w:val="24"/>
        </w:rPr>
      </w:pPr>
      <w:bookmarkStart w:id="0" w:name="_GoBack"/>
      <w:r>
        <w:rPr>
          <w:rFonts w:ascii="Helvetica" w:hAnsi="Helvetica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400040" cy="5400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enario Sindical Combativ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50D4" w:rsidRDefault="009350D4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</w:p>
    <w:p w:rsidR="009350D4" w:rsidRPr="005B2EB5" w:rsidRDefault="009350D4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</w:p>
    <w:p w:rsidR="0064751B" w:rsidRDefault="0064751B">
      <w:pPr>
        <w:pStyle w:val="NormalWeb"/>
        <w:spacing w:before="280" w:after="280"/>
        <w:rPr>
          <w:rFonts w:ascii="Helvetica" w:hAnsi="Helvetica"/>
        </w:rPr>
      </w:pPr>
    </w:p>
    <w:p w:rsidR="0064751B" w:rsidRDefault="0064751B">
      <w:pPr>
        <w:rPr>
          <w:rStyle w:val="EnlacedeInternet"/>
          <w:rFonts w:ascii="Helvetica" w:hAnsi="Helvetica"/>
          <w:sz w:val="24"/>
          <w:szCs w:val="24"/>
        </w:rPr>
      </w:pPr>
    </w:p>
    <w:p w:rsidR="0064751B" w:rsidRDefault="0064751B">
      <w:pPr>
        <w:rPr>
          <w:rFonts w:ascii="Helvetica" w:hAnsi="Helvetica"/>
          <w:sz w:val="24"/>
          <w:szCs w:val="24"/>
        </w:rPr>
      </w:pPr>
    </w:p>
    <w:p w:rsidR="0064751B" w:rsidRDefault="0064751B"/>
    <w:sectPr w:rsidR="0064751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B"/>
    <w:rsid w:val="00002EFE"/>
    <w:rsid w:val="001441BE"/>
    <w:rsid w:val="00205161"/>
    <w:rsid w:val="00406243"/>
    <w:rsid w:val="004E12D4"/>
    <w:rsid w:val="005B2EB5"/>
    <w:rsid w:val="005E3FE9"/>
    <w:rsid w:val="005F04D0"/>
    <w:rsid w:val="0064751B"/>
    <w:rsid w:val="00710C64"/>
    <w:rsid w:val="00794B5D"/>
    <w:rsid w:val="009350D4"/>
    <w:rsid w:val="00983F91"/>
    <w:rsid w:val="009D5A4E"/>
    <w:rsid w:val="00A474A4"/>
    <w:rsid w:val="00BC5C26"/>
    <w:rsid w:val="00C11A8D"/>
    <w:rsid w:val="00F22CD9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874C"/>
  <w15:docId w15:val="{B5A68C50-C5A3-49A8-B532-2DCF56A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2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8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191119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21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462231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izquierdasocialista.org.ar/2020/index.php/blog/comunicados-de-prensa/item/24282-16-de-agosto-plenario-nacional-del-sindicalismo-combativo-ruben-sobrero-que-la-cgt-rompa-el-pacto-y-convoque-al-paro-de-36-ho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2025-08-15T12:04:00Z</dcterms:created>
  <dcterms:modified xsi:type="dcterms:W3CDTF">2025-08-15T12:04:00Z</dcterms:modified>
  <dc:language>es-ES</dc:language>
</cp:coreProperties>
</file>