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D9DB2" w14:textId="77777777" w:rsidR="00406FDD" w:rsidRDefault="00D661D8">
      <w:pPr>
        <w:jc w:val="center"/>
        <w:rPr>
          <w:rFonts w:hint="eastAsia"/>
        </w:rPr>
      </w:pPr>
      <w:r>
        <w:rPr>
          <w:b/>
          <w:color w:val="1F4E79"/>
          <w:sz w:val="20"/>
        </w:rPr>
        <w:t>GACETILLA DE PRENSA</w:t>
      </w:r>
    </w:p>
    <w:p w14:paraId="6A1783BD" w14:textId="77777777" w:rsidR="00406FDD" w:rsidRDefault="00D661D8">
      <w:pPr>
        <w:pStyle w:val="Ttulo"/>
        <w:jc w:val="center"/>
      </w:pPr>
      <w:r>
        <w:t>Federico González difundió tres nuevos ensayos sobre desarrollo, ciencia y ética pública</w:t>
      </w:r>
    </w:p>
    <w:p w14:paraId="2325CDD7" w14:textId="77777777" w:rsidR="00406FDD" w:rsidRDefault="00D661D8">
      <w:pPr>
        <w:jc w:val="center"/>
        <w:rPr>
          <w:rFonts w:hint="eastAsia"/>
        </w:rPr>
      </w:pPr>
      <w:r>
        <w:rPr>
          <w:i/>
          <w:color w:val="555555"/>
          <w:sz w:val="22"/>
        </w:rPr>
        <w:t xml:space="preserve">Una trilogía conceptual del Desarrollismo Inteligente del Siglo XXI para pensar la reconstrucción argentina: del mapa productivo de la </w:t>
      </w:r>
      <w:r>
        <w:rPr>
          <w:i/>
          <w:color w:val="555555"/>
          <w:sz w:val="22"/>
        </w:rPr>
        <w:t>pirámide del desarrollo al desguace científico y la anatomía moral del gobierno de Javier Milei.</w:t>
      </w:r>
    </w:p>
    <w:p w14:paraId="7C568552" w14:textId="77777777" w:rsidR="00406FDD" w:rsidRDefault="00D661D8">
      <w:pPr>
        <w:jc w:val="right"/>
        <w:rPr>
          <w:rFonts w:hint="eastAsia"/>
        </w:rPr>
      </w:pPr>
      <w:r>
        <w:rPr>
          <w:i/>
          <w:color w:val="666666"/>
          <w:sz w:val="19"/>
        </w:rPr>
        <w:t>Buenos Aires, julio de 2026</w:t>
      </w:r>
    </w:p>
    <w:p w14:paraId="1E45A14A" w14:textId="59DB46BB" w:rsidR="00406FDD" w:rsidRDefault="00D661D8">
      <w:pPr>
        <w:spacing w:before="160" w:after="120"/>
        <w:rPr>
          <w:rFonts w:hint="eastAsia"/>
        </w:rPr>
      </w:pPr>
      <w:r>
        <w:t xml:space="preserve">Federico González, </w:t>
      </w:r>
      <w:r w:rsidRPr="0094582E">
        <w:rPr>
          <w:lang w:val="es-AR"/>
        </w:rPr>
        <w:t>analista</w:t>
      </w:r>
      <w:r>
        <w:t xml:space="preserve"> </w:t>
      </w:r>
      <w:r w:rsidRPr="0094582E">
        <w:rPr>
          <w:lang w:val="es-AR"/>
        </w:rPr>
        <w:t>político</w:t>
      </w:r>
      <w:r>
        <w:t xml:space="preserve">, </w:t>
      </w:r>
      <w:r w:rsidR="00F03428" w:rsidRPr="0094582E">
        <w:rPr>
          <w:lang w:val="es-419"/>
        </w:rPr>
        <w:t>profesor</w:t>
      </w:r>
      <w:r>
        <w:t xml:space="preserve"> </w:t>
      </w:r>
      <w:r w:rsidR="00F03428">
        <w:t xml:space="preserve">Universitario, </w:t>
      </w:r>
      <w:r w:rsidR="00F03428" w:rsidRPr="0094582E">
        <w:rPr>
          <w:lang w:val="es-AR"/>
        </w:rPr>
        <w:t>fundador</w:t>
      </w:r>
      <w:r w:rsidR="00F03428">
        <w:t xml:space="preserve"> </w:t>
      </w:r>
      <w:r>
        <w:t xml:space="preserve">del </w:t>
      </w:r>
      <w:proofErr w:type="spellStart"/>
      <w:r>
        <w:rPr>
          <w:b/>
        </w:rPr>
        <w:t>Desarrollismo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Inteligente</w:t>
      </w:r>
      <w:proofErr w:type="spellEnd"/>
      <w:r>
        <w:rPr>
          <w:b/>
        </w:rPr>
        <w:t xml:space="preserve"> del </w:t>
      </w:r>
      <w:proofErr w:type="spellStart"/>
      <w:r>
        <w:rPr>
          <w:b/>
        </w:rPr>
        <w:t>Siglo</w:t>
      </w:r>
      <w:proofErr w:type="spellEnd"/>
      <w:r>
        <w:rPr>
          <w:b/>
        </w:rPr>
        <w:t xml:space="preserve"> XXI</w:t>
      </w:r>
      <w:r w:rsidR="00F03428">
        <w:rPr>
          <w:b/>
        </w:rPr>
        <w:t xml:space="preserve"> y </w:t>
      </w:r>
      <w:proofErr w:type="spellStart"/>
      <w:r w:rsidR="00F03428">
        <w:rPr>
          <w:b/>
        </w:rPr>
        <w:t>candidato</w:t>
      </w:r>
      <w:proofErr w:type="spellEnd"/>
      <w:r w:rsidR="00F03428">
        <w:rPr>
          <w:b/>
        </w:rPr>
        <w:t xml:space="preserve"> a </w:t>
      </w:r>
      <w:proofErr w:type="spellStart"/>
      <w:r w:rsidR="00F03428">
        <w:rPr>
          <w:b/>
        </w:rPr>
        <w:t>Presidente</w:t>
      </w:r>
      <w:proofErr w:type="spellEnd"/>
      <w:r w:rsidR="00F03428">
        <w:rPr>
          <w:b/>
        </w:rPr>
        <w:t xml:space="preserve"> 2027</w:t>
      </w:r>
      <w:r>
        <w:t xml:space="preserve">, </w:t>
      </w:r>
      <w:proofErr w:type="spellStart"/>
      <w:r>
        <w:t>difundió</w:t>
      </w:r>
      <w:proofErr w:type="spellEnd"/>
      <w:r>
        <w:t xml:space="preserve">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nuevos</w:t>
      </w:r>
      <w:proofErr w:type="spellEnd"/>
      <w:r>
        <w:t xml:space="preserve"> </w:t>
      </w:r>
      <w:proofErr w:type="spellStart"/>
      <w:r>
        <w:t>artículos</w:t>
      </w:r>
      <w:proofErr w:type="spellEnd"/>
      <w:r>
        <w:t xml:space="preserve"> </w:t>
      </w:r>
      <w:r w:rsidR="0094582E">
        <w:t xml:space="preserve">de </w:t>
      </w:r>
      <w:proofErr w:type="spellStart"/>
      <w:r w:rsidR="0094582E">
        <w:t>corte</w:t>
      </w:r>
      <w:proofErr w:type="spellEnd"/>
      <w:r w:rsidR="0094582E">
        <w:t xml:space="preserve"> </w:t>
      </w:r>
      <w:r w:rsidR="00F03428" w:rsidRPr="0094582E">
        <w:rPr>
          <w:lang w:val="es-AR"/>
        </w:rPr>
        <w:t>polític</w:t>
      </w:r>
      <w:r w:rsidR="0094582E">
        <w:rPr>
          <w:lang w:val="es-AR"/>
        </w:rPr>
        <w:t>o</w:t>
      </w:r>
      <w:bookmarkStart w:id="0" w:name="_GoBack"/>
      <w:bookmarkEnd w:id="0"/>
      <w:r>
        <w:t xml:space="preserve"> que conforman una </w:t>
      </w:r>
      <w:proofErr w:type="spellStart"/>
      <w:r>
        <w:t>misma</w:t>
      </w:r>
      <w:proofErr w:type="spellEnd"/>
      <w:r>
        <w:t xml:space="preserve"> </w:t>
      </w:r>
      <w:proofErr w:type="spellStart"/>
      <w:r>
        <w:t>línea</w:t>
      </w:r>
      <w:proofErr w:type="spellEnd"/>
      <w:r>
        <w:t xml:space="preserve"> de </w:t>
      </w:r>
      <w:proofErr w:type="spellStart"/>
      <w:r>
        <w:t>pensamiento</w:t>
      </w:r>
      <w:proofErr w:type="spellEnd"/>
      <w:r>
        <w:t xml:space="preserve">: la Argentina no </w:t>
      </w:r>
      <w:proofErr w:type="spellStart"/>
      <w:r>
        <w:t>saldrá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crisis con </w:t>
      </w:r>
      <w:proofErr w:type="spellStart"/>
      <w:r>
        <w:t>demoliciones</w:t>
      </w:r>
      <w:proofErr w:type="spellEnd"/>
      <w:r>
        <w:t xml:space="preserve">, </w:t>
      </w:r>
      <w:proofErr w:type="spellStart"/>
      <w:r>
        <w:t>improvisaciones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épicas</w:t>
      </w:r>
      <w:proofErr w:type="spellEnd"/>
      <w:r>
        <w:t xml:space="preserve"> de </w:t>
      </w:r>
      <w:proofErr w:type="spellStart"/>
      <w:r>
        <w:t>ocasión</w:t>
      </w:r>
      <w:proofErr w:type="spellEnd"/>
      <w:r>
        <w:t xml:space="preserve">, </w:t>
      </w:r>
      <w:proofErr w:type="spellStart"/>
      <w:r>
        <w:t>sino</w:t>
      </w:r>
      <w:proofErr w:type="spellEnd"/>
      <w:r>
        <w:t xml:space="preserve"> con </w:t>
      </w:r>
      <w:proofErr w:type="spellStart"/>
      <w:r>
        <w:t>instituciones</w:t>
      </w:r>
      <w:proofErr w:type="spellEnd"/>
      <w:r>
        <w:t xml:space="preserve"> </w:t>
      </w:r>
      <w:proofErr w:type="spellStart"/>
      <w:r>
        <w:t>creíbles</w:t>
      </w:r>
      <w:proofErr w:type="spellEnd"/>
      <w:r>
        <w:t xml:space="preserve">, </w:t>
      </w:r>
      <w:proofErr w:type="spellStart"/>
      <w:r>
        <w:t>ciencia</w:t>
      </w:r>
      <w:proofErr w:type="spellEnd"/>
      <w:r>
        <w:t xml:space="preserve">, </w:t>
      </w:r>
      <w:proofErr w:type="spellStart"/>
      <w:r>
        <w:t>producción</w:t>
      </w:r>
      <w:proofErr w:type="spellEnd"/>
      <w:r>
        <w:t xml:space="preserve">, </w:t>
      </w:r>
      <w:proofErr w:type="spellStart"/>
      <w:r>
        <w:t>educación</w:t>
      </w:r>
      <w:proofErr w:type="spellEnd"/>
      <w:r>
        <w:t xml:space="preserve">, </w:t>
      </w:r>
      <w:proofErr w:type="spellStart"/>
      <w:r>
        <w:t>trabajo</w:t>
      </w:r>
      <w:proofErr w:type="spellEnd"/>
      <w:r>
        <w:t xml:space="preserve">, </w:t>
      </w:r>
      <w:proofErr w:type="spellStart"/>
      <w:r>
        <w:t>fin</w:t>
      </w:r>
      <w:r>
        <w:t>anciamiento</w:t>
      </w:r>
      <w:proofErr w:type="spellEnd"/>
      <w:r>
        <w:t xml:space="preserve"> y un Estado </w:t>
      </w:r>
      <w:proofErr w:type="spellStart"/>
      <w:r>
        <w:t>capaz</w:t>
      </w:r>
      <w:proofErr w:type="spellEnd"/>
      <w:r>
        <w:t xml:space="preserve"> de articular </w:t>
      </w:r>
      <w:proofErr w:type="spellStart"/>
      <w:r>
        <w:t>capacidades</w:t>
      </w:r>
      <w:proofErr w:type="spellEnd"/>
      <w:r>
        <w:t xml:space="preserve"> </w:t>
      </w:r>
      <w:proofErr w:type="spellStart"/>
      <w:r>
        <w:t>nacionales</w:t>
      </w:r>
      <w:proofErr w:type="spellEnd"/>
      <w:r>
        <w:t>.</w:t>
      </w:r>
    </w:p>
    <w:p w14:paraId="70494927" w14:textId="77777777" w:rsidR="00406FDD" w:rsidRDefault="00D661D8">
      <w:pPr>
        <w:spacing w:after="160"/>
        <w:rPr>
          <w:rFonts w:hint="eastAsia"/>
        </w:rPr>
      </w:pPr>
      <w:r>
        <w:rPr>
          <w:b/>
        </w:rPr>
        <w:t xml:space="preserve">Los textos articulan una propuesta y una advertencia: </w:t>
      </w:r>
      <w:r>
        <w:t>la riqueza no nace de actores aislados, la ciencia no es un gasto prescindible y la ética pública no puede reducirse a consignas. En co</w:t>
      </w:r>
      <w:r>
        <w:t>njunto, los ensayos ofrecen una réplica programática frente al ajuste infinito, el desguace de capacidades estratégicas y la degradación de la palabra pública.</w:t>
      </w:r>
    </w:p>
    <w:tbl>
      <w:tblPr>
        <w:tblW w:w="0" w:type="auto"/>
        <w:jc w:val="center"/>
        <w:tblBorders>
          <w:top w:val="single" w:sz="4" w:space="0" w:color="B7C9E2"/>
          <w:left w:val="single" w:sz="4" w:space="0" w:color="B7C9E2"/>
          <w:bottom w:val="single" w:sz="4" w:space="0" w:color="B7C9E2"/>
          <w:right w:val="single" w:sz="4" w:space="0" w:color="B7C9E2"/>
          <w:insideH w:val="single" w:sz="4" w:space="0" w:color="B7C9E2"/>
          <w:insideV w:val="single" w:sz="4" w:space="0" w:color="B7C9E2"/>
        </w:tblBorders>
        <w:tblLook w:val="04A0" w:firstRow="1" w:lastRow="0" w:firstColumn="1" w:lastColumn="0" w:noHBand="0" w:noVBand="1"/>
      </w:tblPr>
      <w:tblGrid>
        <w:gridCol w:w="10358"/>
      </w:tblGrid>
      <w:tr w:rsidR="00406FDD" w14:paraId="794A6DA1" w14:textId="77777777">
        <w:trPr>
          <w:jc w:val="center"/>
        </w:trPr>
        <w:tc>
          <w:tcPr>
            <w:tcW w:w="10368" w:type="dxa"/>
            <w:shd w:val="clear" w:color="auto" w:fill="EAF2F8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68862FD" w14:textId="77777777" w:rsidR="00406FDD" w:rsidRDefault="00D661D8">
            <w:pPr>
              <w:jc w:val="center"/>
              <w:rPr>
                <w:rFonts w:hint="eastAsia"/>
              </w:rPr>
            </w:pPr>
            <w:r>
              <w:rPr>
                <w:i/>
                <w:color w:val="1F4E79"/>
                <w:sz w:val="22"/>
              </w:rPr>
              <w:t>“No se trata de elegir entre Estado o mercado: se trata de construir una red inteligente entre E</w:t>
            </w:r>
            <w:r>
              <w:rPr>
                <w:i/>
                <w:color w:val="1F4E79"/>
                <w:sz w:val="22"/>
              </w:rPr>
              <w:t>stado, ciencia, producción, educación, emprendedores, financiamiento y trabajo.”</w:t>
            </w:r>
          </w:p>
        </w:tc>
      </w:tr>
    </w:tbl>
    <w:p w14:paraId="375CC501" w14:textId="77777777" w:rsidR="00406FDD" w:rsidRDefault="00D661D8">
      <w:pPr>
        <w:pStyle w:val="Ttulo1"/>
      </w:pPr>
      <w:r>
        <w:t>Los tres artículos</w:t>
      </w:r>
    </w:p>
    <w:tbl>
      <w:tblPr>
        <w:tblW w:w="0" w:type="auto"/>
        <w:jc w:val="center"/>
        <w:tblBorders>
          <w:top w:val="single" w:sz="4" w:space="0" w:color="E2EAF4"/>
          <w:left w:val="single" w:sz="4" w:space="0" w:color="E2EAF4"/>
          <w:bottom w:val="single" w:sz="4" w:space="0" w:color="auto"/>
          <w:right w:val="single" w:sz="4" w:space="0" w:color="E2EAF4"/>
          <w:insideH w:val="single" w:sz="4" w:space="0" w:color="E2EAF4"/>
          <w:insideV w:val="single" w:sz="4" w:space="0" w:color="E2EAF4"/>
        </w:tblBorders>
        <w:tblLayout w:type="fixed"/>
        <w:tblLook w:val="04A0" w:firstRow="1" w:lastRow="0" w:firstColumn="1" w:lastColumn="0" w:noHBand="0" w:noVBand="1"/>
      </w:tblPr>
      <w:tblGrid>
        <w:gridCol w:w="5184"/>
        <w:gridCol w:w="5184"/>
      </w:tblGrid>
      <w:tr w:rsidR="00406FDD" w14:paraId="7BFFD342" w14:textId="77777777" w:rsidTr="00F03428">
        <w:trPr>
          <w:jc w:val="center"/>
        </w:trPr>
        <w:tc>
          <w:tcPr>
            <w:tcW w:w="518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CFE9997" w14:textId="77777777" w:rsidR="00406FDD" w:rsidRDefault="00D661D8">
            <w:pPr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5850218A" wp14:editId="15238773">
                  <wp:extent cx="2057400" cy="2057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05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4" w:type="dx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E573B14" w14:textId="77777777" w:rsidR="00406FDD" w:rsidRDefault="00D661D8">
            <w:pPr>
              <w:spacing w:after="80"/>
              <w:rPr>
                <w:rFonts w:hint="eastAsia"/>
              </w:rPr>
            </w:pPr>
            <w:r>
              <w:rPr>
                <w:b/>
                <w:color w:val="1F4E79"/>
                <w:sz w:val="26"/>
              </w:rPr>
              <w:t>1. La figura geométrica que puede salvar a la Argentina</w:t>
            </w:r>
          </w:p>
          <w:p w14:paraId="0382469C" w14:textId="77777777" w:rsidR="00406FDD" w:rsidRDefault="00D661D8">
            <w:pPr>
              <w:spacing w:after="80"/>
              <w:rPr>
                <w:rFonts w:hint="eastAsia"/>
              </w:rPr>
            </w:pPr>
            <w:r>
              <w:t>Del triángulo de Sábato a la pirámide del desarrollo: el ensayo propone una arquitectura conceptu</w:t>
            </w:r>
            <w:r>
              <w:t>al para conectar Estado, ciencia, producción, educación, emprendedores, financiamiento y trabajo. Su tesis: la riqueza nacional no nace de vértices aislados, sino de la calidad de sus conexiones.</w:t>
            </w:r>
          </w:p>
          <w:p w14:paraId="37DB8811" w14:textId="77777777" w:rsidR="00406FDD" w:rsidRDefault="00D661D8">
            <w:pPr>
              <w:spacing w:after="0"/>
              <w:rPr>
                <w:rFonts w:hint="eastAsia"/>
              </w:rPr>
            </w:pPr>
            <w:r>
              <w:t xml:space="preserve">Leer el artículo completo: </w:t>
            </w:r>
            <w:hyperlink r:id="rId9">
              <w:r>
                <w:rPr>
                  <w:color w:val="0563C1"/>
                  <w:u w:val="single"/>
                </w:rPr>
                <w:t>https://8gehdl.short.gy/ZMel2i</w:t>
              </w:r>
            </w:hyperlink>
          </w:p>
        </w:tc>
      </w:tr>
    </w:tbl>
    <w:p w14:paraId="20587813" w14:textId="77777777" w:rsidR="00406FDD" w:rsidRDefault="00406FDD">
      <w:pPr>
        <w:spacing w:after="60"/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E2EAF4"/>
          <w:left w:val="single" w:sz="4" w:space="0" w:color="E2EAF4"/>
          <w:bottom w:val="single" w:sz="4" w:space="0" w:color="E2EAF4"/>
          <w:right w:val="single" w:sz="4" w:space="0" w:color="E2EAF4"/>
          <w:insideH w:val="single" w:sz="4" w:space="0" w:color="E2EAF4"/>
          <w:insideV w:val="single" w:sz="4" w:space="0" w:color="E2EAF4"/>
        </w:tblBorders>
        <w:tblLayout w:type="fixed"/>
        <w:tblLook w:val="04A0" w:firstRow="1" w:lastRow="0" w:firstColumn="1" w:lastColumn="0" w:noHBand="0" w:noVBand="1"/>
      </w:tblPr>
      <w:tblGrid>
        <w:gridCol w:w="5184"/>
        <w:gridCol w:w="5184"/>
      </w:tblGrid>
      <w:tr w:rsidR="00406FDD" w14:paraId="5B81A519" w14:textId="77777777">
        <w:trPr>
          <w:jc w:val="center"/>
        </w:trPr>
        <w:tc>
          <w:tcPr>
            <w:tcW w:w="518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D03365C" w14:textId="77777777" w:rsidR="00406FDD" w:rsidRDefault="00D661D8">
            <w:pPr>
              <w:jc w:val="center"/>
              <w:rPr>
                <w:rFonts w:hint="eastAsia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F0FF1DD" wp14:editId="71BE6FC4">
                  <wp:extent cx="2057400" cy="257290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572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4" w:type="dx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F494FDE" w14:textId="77777777" w:rsidR="00406FDD" w:rsidRDefault="00D661D8">
            <w:pPr>
              <w:spacing w:after="80"/>
              <w:rPr>
                <w:rFonts w:hint="eastAsia"/>
              </w:rPr>
            </w:pPr>
            <w:r>
              <w:rPr>
                <w:b/>
                <w:color w:val="1F4E79"/>
                <w:sz w:val="26"/>
              </w:rPr>
              <w:t>2. El país que apaga sus laboratorios</w:t>
            </w:r>
          </w:p>
          <w:p w14:paraId="3A89FFF2" w14:textId="77777777" w:rsidR="00406FDD" w:rsidRDefault="00D661D8">
            <w:pPr>
              <w:spacing w:after="80"/>
              <w:rPr>
                <w:rFonts w:hint="eastAsia"/>
              </w:rPr>
            </w:pPr>
            <w:r>
              <w:t xml:space="preserve">Una denuncia sobre el desguace del sistema científico-tecnológico argentino y sobre cómo se puede demoler en pocos años una construcción institucional de siete </w:t>
            </w:r>
            <w:r>
              <w:t>décadas. La tesis: apagar laboratorios, expulsar investigadores y cortar la red entre Estado, ciencia y producción no es ahorro fiscal; es hipotecar la inteligencia nacional.</w:t>
            </w:r>
          </w:p>
          <w:p w14:paraId="5B2CA9F9" w14:textId="77777777" w:rsidR="00406FDD" w:rsidRDefault="00D661D8">
            <w:pPr>
              <w:spacing w:after="0"/>
              <w:rPr>
                <w:rFonts w:hint="eastAsia"/>
              </w:rPr>
            </w:pPr>
            <w:r>
              <w:t xml:space="preserve">Leer el artículo completo: </w:t>
            </w:r>
            <w:hyperlink r:id="rId11">
              <w:r>
                <w:rPr>
                  <w:color w:val="0563C1"/>
                  <w:u w:val="single"/>
                </w:rPr>
                <w:t>http</w:t>
              </w:r>
              <w:r>
                <w:rPr>
                  <w:color w:val="0563C1"/>
                  <w:u w:val="single"/>
                </w:rPr>
                <w:t>s://8gehdl.short.gy/nyHrQt</w:t>
              </w:r>
            </w:hyperlink>
          </w:p>
        </w:tc>
      </w:tr>
    </w:tbl>
    <w:p w14:paraId="17A7A2A6" w14:textId="77777777" w:rsidR="00406FDD" w:rsidRDefault="00406FDD">
      <w:pPr>
        <w:spacing w:after="60"/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E2EAF4"/>
          <w:left w:val="single" w:sz="4" w:space="0" w:color="E2EAF4"/>
          <w:bottom w:val="single" w:sz="4" w:space="0" w:color="E2EAF4"/>
          <w:right w:val="single" w:sz="4" w:space="0" w:color="E2EAF4"/>
          <w:insideH w:val="single" w:sz="4" w:space="0" w:color="E2EAF4"/>
          <w:insideV w:val="single" w:sz="4" w:space="0" w:color="E2EAF4"/>
        </w:tblBorders>
        <w:tblLayout w:type="fixed"/>
        <w:tblLook w:val="04A0" w:firstRow="1" w:lastRow="0" w:firstColumn="1" w:lastColumn="0" w:noHBand="0" w:noVBand="1"/>
      </w:tblPr>
      <w:tblGrid>
        <w:gridCol w:w="5184"/>
        <w:gridCol w:w="5184"/>
      </w:tblGrid>
      <w:tr w:rsidR="00406FDD" w14:paraId="4AFA339D" w14:textId="77777777">
        <w:trPr>
          <w:jc w:val="center"/>
        </w:trPr>
        <w:tc>
          <w:tcPr>
            <w:tcW w:w="518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51789BB" w14:textId="77777777" w:rsidR="00406FDD" w:rsidRDefault="00D661D8">
            <w:pPr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31D2B328" wp14:editId="7B2FD03B">
                  <wp:extent cx="2057400" cy="2572639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e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572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4" w:type="dx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30B9317" w14:textId="77777777" w:rsidR="00406FDD" w:rsidRDefault="00D661D8">
            <w:pPr>
              <w:spacing w:after="80"/>
              <w:rPr>
                <w:rFonts w:hint="eastAsia"/>
              </w:rPr>
            </w:pPr>
            <w:r>
              <w:rPr>
                <w:b/>
                <w:color w:val="1F4E79"/>
                <w:sz w:val="26"/>
              </w:rPr>
              <w:t>3. El tres por ciento de la épica</w:t>
            </w:r>
          </w:p>
          <w:p w14:paraId="2E16B020" w14:textId="77777777" w:rsidR="00406FDD" w:rsidRDefault="00D661D8">
            <w:pPr>
              <w:spacing w:after="80"/>
              <w:rPr>
                <w:rFonts w:hint="eastAsia"/>
              </w:rPr>
            </w:pPr>
            <w:r>
              <w:t>Una anatomía moral del gobierno de Javier Milei: promesas incumplidas, expedientes judiciales y crueldad presupuestaria frente a una réplica desarrollista. La tesis: la Argentina debe salir d</w:t>
            </w:r>
            <w:r>
              <w:t>el exorcismo demoledor y construir una alternativa con Estado sinérgico, ciencia, producción, ética pública e inversión estratégica.</w:t>
            </w:r>
          </w:p>
          <w:p w14:paraId="376F7C24" w14:textId="77777777" w:rsidR="00406FDD" w:rsidRDefault="00D661D8">
            <w:pPr>
              <w:spacing w:after="0"/>
              <w:rPr>
                <w:rFonts w:hint="eastAsia"/>
              </w:rPr>
            </w:pPr>
            <w:r>
              <w:t xml:space="preserve">Leer el artículo completo: </w:t>
            </w:r>
            <w:hyperlink r:id="rId13">
              <w:r>
                <w:rPr>
                  <w:color w:val="0563C1"/>
                  <w:u w:val="single"/>
                </w:rPr>
                <w:t>https://8gehdl.short.gy/fld1oa</w:t>
              </w:r>
            </w:hyperlink>
          </w:p>
        </w:tc>
      </w:tr>
    </w:tbl>
    <w:p w14:paraId="7B9AF343" w14:textId="77777777" w:rsidR="00406FDD" w:rsidRDefault="00D661D8">
      <w:pPr>
        <w:pStyle w:val="Ttulo1"/>
      </w:pPr>
      <w:r>
        <w:t>Eje común</w:t>
      </w:r>
    </w:p>
    <w:p w14:paraId="02733A65" w14:textId="45EADB84" w:rsidR="00406FDD" w:rsidRDefault="00D661D8">
      <w:pPr>
        <w:rPr>
          <w:rFonts w:hint="eastAsia"/>
        </w:rPr>
      </w:pPr>
      <w:r>
        <w:rPr>
          <w:b/>
        </w:rPr>
        <w:t xml:space="preserve">Los </w:t>
      </w:r>
      <w:r>
        <w:rPr>
          <w:b/>
        </w:rPr>
        <w:t xml:space="preserve">tres ensayos forman una trilogía sobre el mismo problema argentino: </w:t>
      </w:r>
      <w:r>
        <w:t xml:space="preserve">cómo pasar de la demolición a la construcción, de la retórica a las instituciones, de la supervivencia fiscal a una estrategia de desarrollo. González sostiene que el </w:t>
      </w:r>
      <w:r w:rsidRPr="00CC169D">
        <w:rPr>
          <w:lang w:val="es-AR"/>
        </w:rPr>
        <w:t>país</w:t>
      </w:r>
      <w:r>
        <w:t xml:space="preserve"> </w:t>
      </w:r>
      <w:proofErr w:type="spellStart"/>
      <w:r>
        <w:t>necesita</w:t>
      </w:r>
      <w:proofErr w:type="spellEnd"/>
      <w:r>
        <w:t xml:space="preserve"> una </w:t>
      </w:r>
      <w:proofErr w:type="spellStart"/>
      <w:r w:rsidR="00CC169D">
        <w:t>alternativa</w:t>
      </w:r>
      <w:proofErr w:type="spellEnd"/>
      <w:r w:rsidR="00CC169D">
        <w:t xml:space="preserve"> </w:t>
      </w:r>
      <w:proofErr w:type="spellStart"/>
      <w:r w:rsidR="00CC169D">
        <w:t>superadora</w:t>
      </w:r>
      <w:proofErr w:type="spellEnd"/>
      <w:r>
        <w:t xml:space="preserve"> con </w:t>
      </w:r>
      <w:proofErr w:type="spellStart"/>
      <w:r>
        <w:t>dirección</w:t>
      </w:r>
      <w:proofErr w:type="spellEnd"/>
      <w:r>
        <w:t>: productividad con inclusión, orden fiscal con inversión estratégica y firmeza sin crueldad.</w:t>
      </w:r>
    </w:p>
    <w:p w14:paraId="1993DB48" w14:textId="49882127" w:rsidR="00406FDD" w:rsidRPr="00CC169D" w:rsidRDefault="00D661D8">
      <w:pPr>
        <w:rPr>
          <w:rFonts w:hint="eastAsia"/>
          <w:b/>
          <w:bCs/>
        </w:rPr>
      </w:pPr>
      <w:r>
        <w:rPr>
          <w:b/>
        </w:rPr>
        <w:t xml:space="preserve">Contacto / prensa: </w:t>
      </w:r>
      <w:r>
        <w:t xml:space="preserve">Federico González y </w:t>
      </w:r>
      <w:proofErr w:type="spellStart"/>
      <w:r>
        <w:t>Asociados</w:t>
      </w:r>
      <w:proofErr w:type="spellEnd"/>
      <w:r w:rsidR="00CC169D">
        <w:t xml:space="preserve"> </w:t>
      </w:r>
      <w:r w:rsidR="00CC169D" w:rsidRPr="00CC169D">
        <w:rPr>
          <w:b/>
          <w:bCs/>
        </w:rPr>
        <w:t>– 11-6631-3421</w:t>
      </w:r>
    </w:p>
    <w:sectPr w:rsidR="00406FDD" w:rsidRPr="00CC169D" w:rsidSect="00034616">
      <w:footerReference w:type="default" r:id="rId14"/>
      <w:pgSz w:w="12240" w:h="15840"/>
      <w:pgMar w:top="792" w:right="936" w:bottom="792" w:left="93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3C687E" w14:textId="77777777" w:rsidR="00D661D8" w:rsidRDefault="00D661D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897703A" w14:textId="77777777" w:rsidR="00D661D8" w:rsidRDefault="00D661D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93656" w14:textId="77777777" w:rsidR="00406FDD" w:rsidRDefault="00D661D8">
    <w:pPr>
      <w:pStyle w:val="Piedepgina"/>
      <w:jc w:val="center"/>
      <w:rPr>
        <w:rFonts w:hint="eastAsia"/>
      </w:rPr>
    </w:pPr>
    <w:r>
      <w:rPr>
        <w:color w:val="787878"/>
        <w:sz w:val="16"/>
      </w:rPr>
      <w:t>Federico González — Desarrollismo Inteligente del Siglo XXI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7613A1" w14:textId="77777777" w:rsidR="00D661D8" w:rsidRDefault="00D661D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A997716" w14:textId="77777777" w:rsidR="00D661D8" w:rsidRDefault="00D661D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5E32"/>
    <w:rsid w:val="0029639D"/>
    <w:rsid w:val="00326F90"/>
    <w:rsid w:val="00406FDD"/>
    <w:rsid w:val="0094582E"/>
    <w:rsid w:val="00AA1D8D"/>
    <w:rsid w:val="00B47730"/>
    <w:rsid w:val="00CB0664"/>
    <w:rsid w:val="00CC169D"/>
    <w:rsid w:val="00D661D8"/>
    <w:rsid w:val="00F0342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5056548"/>
  <w14:defaultImageDpi w14:val="330"/>
  <w15:docId w15:val="{3DA4931B-B438-44F8-9129-47F463F9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E79"/>
      <w:sz w:val="34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E79"/>
      <w:sz w:val="27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48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8gehdl.short.gy/fld1o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8gehdl.short.gy/nyHrQ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8gehdl.short.gy/ZMel2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FFECCF-FF2C-45DC-A2AC-1075FD621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2766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Federico</cp:lastModifiedBy>
  <cp:revision>2</cp:revision>
  <dcterms:created xsi:type="dcterms:W3CDTF">2026-07-04T14:36:00Z</dcterms:created>
  <dcterms:modified xsi:type="dcterms:W3CDTF">2026-07-04T14:36:00Z</dcterms:modified>
  <cp:category/>
</cp:coreProperties>
</file>