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A3" w:rsidRDefault="005E35EF" w:rsidP="005E35EF">
      <w:pPr>
        <w:rPr>
          <w:rFonts w:ascii="Roboto" w:eastAsia="Roboto" w:hAnsi="Roboto" w:cs="Roboto"/>
          <w:sz w:val="21"/>
          <w:szCs w:val="21"/>
          <w:highlight w:val="white"/>
        </w:rPr>
      </w:pPr>
      <w:bookmarkStart w:id="0" w:name="_GoBack"/>
      <w:bookmarkEnd w:id="0"/>
      <w:r>
        <w:rPr>
          <w:rFonts w:ascii="Roboto" w:eastAsia="Roboto" w:hAnsi="Roboto" w:cs="Roboto"/>
          <w:b/>
          <w:color w:val="3D85C6"/>
          <w:sz w:val="21"/>
          <w:szCs w:val="21"/>
          <w:highlight w:val="white"/>
        </w:rPr>
        <w:t>Fuente</w:t>
      </w:r>
      <w:r>
        <w:rPr>
          <w:rFonts w:ascii="Roboto" w:eastAsia="Roboto" w:hAnsi="Roboto" w:cs="Roboto"/>
          <w:sz w:val="21"/>
          <w:szCs w:val="21"/>
          <w:highlight w:val="white"/>
        </w:rPr>
        <w:t>:</w:t>
      </w:r>
    </w:p>
    <w:p w:rsidR="00752FA3" w:rsidRDefault="005E35EF" w:rsidP="005E35EF">
      <w:pPr>
        <w:spacing w:after="200"/>
        <w:rPr>
          <w:rFonts w:ascii="Roboto" w:eastAsia="Roboto" w:hAnsi="Roboto" w:cs="Roboto"/>
          <w:sz w:val="18"/>
          <w:szCs w:val="18"/>
          <w:highlight w:val="white"/>
        </w:rPr>
      </w:pPr>
      <w:hyperlink r:id="rId6">
        <w:r>
          <w:rPr>
            <w:rFonts w:ascii="Roboto" w:eastAsia="Roboto" w:hAnsi="Roboto" w:cs="Roboto"/>
            <w:b/>
            <w:color w:val="1155CC"/>
            <w:sz w:val="21"/>
            <w:szCs w:val="21"/>
            <w:highlight w:val="white"/>
            <w:u w:val="single"/>
          </w:rPr>
          <w:t>GASTÓN BOIREAU</w:t>
        </w:r>
      </w:hyperlink>
      <w:r>
        <w:rPr>
          <w:rFonts w:ascii="Roboto" w:eastAsia="Roboto" w:hAnsi="Roboto" w:cs="Roboto"/>
          <w:sz w:val="21"/>
          <w:szCs w:val="21"/>
          <w:highlight w:val="white"/>
        </w:rPr>
        <w:t xml:space="preserve"> </w:t>
      </w:r>
      <w:r>
        <w:rPr>
          <w:rFonts w:ascii="Roboto" w:eastAsia="Roboto" w:hAnsi="Roboto" w:cs="Roboto"/>
          <w:sz w:val="18"/>
          <w:szCs w:val="18"/>
          <w:highlight w:val="white"/>
        </w:rPr>
        <w:t>(</w:t>
      </w:r>
      <w:r>
        <w:rPr>
          <w:rFonts w:ascii="Roboto" w:eastAsia="Roboto" w:hAnsi="Roboto" w:cs="Roboto"/>
          <w:color w:val="38761D"/>
          <w:sz w:val="18"/>
          <w:szCs w:val="18"/>
          <w:highlight w:val="white"/>
        </w:rPr>
        <w:t xml:space="preserve">Especialista en Aprendizaje y Desarrollo con Enfoque en Diversidad e Inclusión en </w:t>
      </w:r>
      <w:hyperlink r:id="rId7">
        <w:proofErr w:type="spellStart"/>
        <w:r>
          <w:rPr>
            <w:rFonts w:ascii="Roboto" w:eastAsia="Roboto" w:hAnsi="Roboto" w:cs="Roboto"/>
            <w:color w:val="1155CC"/>
            <w:sz w:val="18"/>
            <w:szCs w:val="18"/>
            <w:highlight w:val="white"/>
            <w:u w:val="single"/>
          </w:rPr>
          <w:t>DEIBme</w:t>
        </w:r>
        <w:proofErr w:type="spellEnd"/>
      </w:hyperlink>
      <w:r>
        <w:rPr>
          <w:rFonts w:ascii="Roboto" w:eastAsia="Roboto" w:hAnsi="Roboto" w:cs="Roboto"/>
          <w:sz w:val="18"/>
          <w:szCs w:val="18"/>
          <w:highlight w:val="white"/>
        </w:rPr>
        <w:t xml:space="preserve">. </w:t>
      </w:r>
      <w:r>
        <w:rPr>
          <w:rFonts w:ascii="Roboto" w:eastAsia="Roboto" w:hAnsi="Roboto" w:cs="Roboto"/>
          <w:color w:val="0B5394"/>
          <w:sz w:val="18"/>
          <w:szCs w:val="18"/>
          <w:highlight w:val="white"/>
        </w:rPr>
        <w:t xml:space="preserve">Miembro Comunidad DEI </w:t>
      </w:r>
      <w:hyperlink r:id="rId8">
        <w:proofErr w:type="spellStart"/>
        <w:r>
          <w:rPr>
            <w:rFonts w:ascii="Roboto" w:eastAsia="Roboto" w:hAnsi="Roboto" w:cs="Roboto"/>
            <w:color w:val="1155CC"/>
            <w:sz w:val="18"/>
            <w:szCs w:val="18"/>
            <w:highlight w:val="white"/>
            <w:u w:val="single"/>
          </w:rPr>
          <w:t>AdRHA</w:t>
        </w:r>
        <w:proofErr w:type="spellEnd"/>
      </w:hyperlink>
      <w:r>
        <w:rPr>
          <w:rFonts w:ascii="Roboto" w:eastAsia="Roboto" w:hAnsi="Roboto" w:cs="Roboto"/>
          <w:sz w:val="18"/>
          <w:szCs w:val="18"/>
          <w:highlight w:val="white"/>
        </w:rPr>
        <w:t>)</w:t>
      </w:r>
    </w:p>
    <w:p w:rsidR="00752FA3" w:rsidRDefault="005E35EF" w:rsidP="005E35EF">
      <w:pPr>
        <w:rPr>
          <w:rFonts w:ascii="Roboto" w:eastAsia="Roboto" w:hAnsi="Roboto" w:cs="Roboto"/>
          <w:sz w:val="18"/>
          <w:szCs w:val="18"/>
          <w:highlight w:val="white"/>
        </w:rPr>
      </w:pPr>
      <w:hyperlink r:id="rId9">
        <w:r>
          <w:rPr>
            <w:rFonts w:ascii="Roboto" w:eastAsia="Roboto" w:hAnsi="Roboto" w:cs="Roboto"/>
            <w:b/>
            <w:color w:val="1155CC"/>
            <w:sz w:val="21"/>
            <w:szCs w:val="21"/>
            <w:highlight w:val="white"/>
            <w:u w:val="single"/>
          </w:rPr>
          <w:t>LUIS ETCHENIQUE</w:t>
        </w:r>
      </w:hyperlink>
      <w:r>
        <w:rPr>
          <w:rFonts w:ascii="Roboto" w:eastAsia="Roboto" w:hAnsi="Roboto" w:cs="Roboto"/>
          <w:sz w:val="21"/>
          <w:szCs w:val="21"/>
          <w:highlight w:val="white"/>
        </w:rPr>
        <w:t xml:space="preserve"> </w:t>
      </w:r>
      <w:r>
        <w:rPr>
          <w:rFonts w:ascii="Roboto" w:eastAsia="Roboto" w:hAnsi="Roboto" w:cs="Roboto"/>
          <w:sz w:val="18"/>
          <w:szCs w:val="18"/>
          <w:highlight w:val="white"/>
        </w:rPr>
        <w:t>(</w:t>
      </w:r>
      <w:r>
        <w:rPr>
          <w:rFonts w:ascii="Roboto" w:eastAsia="Roboto" w:hAnsi="Roboto" w:cs="Roboto"/>
          <w:color w:val="38761D"/>
          <w:sz w:val="18"/>
          <w:szCs w:val="18"/>
          <w:highlight w:val="white"/>
        </w:rPr>
        <w:t xml:space="preserve">Consultor </w:t>
      </w:r>
      <w:proofErr w:type="spellStart"/>
      <w:r>
        <w:rPr>
          <w:rFonts w:ascii="Roboto" w:eastAsia="Roboto" w:hAnsi="Roboto" w:cs="Roboto"/>
          <w:color w:val="38761D"/>
          <w:sz w:val="18"/>
          <w:szCs w:val="18"/>
          <w:highlight w:val="white"/>
        </w:rPr>
        <w:t>Senior</w:t>
      </w:r>
      <w:proofErr w:type="spellEnd"/>
      <w:r>
        <w:rPr>
          <w:rFonts w:ascii="Roboto" w:eastAsia="Roboto" w:hAnsi="Roboto" w:cs="Roboto"/>
          <w:color w:val="38761D"/>
          <w:sz w:val="18"/>
          <w:szCs w:val="18"/>
          <w:highlight w:val="white"/>
        </w:rPr>
        <w:t xml:space="preserve"> en Diversidad, Equidad, Inclusión y Pertenencia en </w:t>
      </w:r>
      <w:hyperlink r:id="rId10">
        <w:proofErr w:type="spellStart"/>
        <w:r>
          <w:rPr>
            <w:rFonts w:ascii="Roboto" w:eastAsia="Roboto" w:hAnsi="Roboto" w:cs="Roboto"/>
            <w:color w:val="1155CC"/>
            <w:sz w:val="18"/>
            <w:szCs w:val="18"/>
            <w:highlight w:val="white"/>
            <w:u w:val="single"/>
          </w:rPr>
          <w:t>DEIBme</w:t>
        </w:r>
        <w:proofErr w:type="spellEnd"/>
      </w:hyperlink>
      <w:r>
        <w:rPr>
          <w:rFonts w:ascii="Roboto" w:eastAsia="Roboto" w:hAnsi="Roboto" w:cs="Roboto"/>
          <w:sz w:val="18"/>
          <w:szCs w:val="18"/>
          <w:highlight w:val="white"/>
        </w:rPr>
        <w:t xml:space="preserve">. </w:t>
      </w:r>
      <w:r>
        <w:rPr>
          <w:rFonts w:ascii="Roboto" w:eastAsia="Roboto" w:hAnsi="Roboto" w:cs="Roboto"/>
          <w:color w:val="0B5394"/>
          <w:sz w:val="18"/>
          <w:szCs w:val="18"/>
          <w:highlight w:val="white"/>
        </w:rPr>
        <w:t xml:space="preserve">Coordinador Comunidad DEI y Director Certificación DEI en </w:t>
      </w:r>
      <w:hyperlink r:id="rId11">
        <w:proofErr w:type="spellStart"/>
        <w:r>
          <w:rPr>
            <w:rFonts w:ascii="Roboto" w:eastAsia="Roboto" w:hAnsi="Roboto" w:cs="Roboto"/>
            <w:color w:val="1155CC"/>
            <w:sz w:val="18"/>
            <w:szCs w:val="18"/>
            <w:highlight w:val="white"/>
            <w:u w:val="single"/>
          </w:rPr>
          <w:t>AdRHA</w:t>
        </w:r>
        <w:proofErr w:type="spellEnd"/>
      </w:hyperlink>
      <w:r>
        <w:rPr>
          <w:rFonts w:ascii="Roboto" w:eastAsia="Roboto" w:hAnsi="Roboto" w:cs="Roboto"/>
          <w:sz w:val="18"/>
          <w:szCs w:val="18"/>
          <w:highlight w:val="white"/>
        </w:rPr>
        <w:t>).</w:t>
      </w:r>
    </w:p>
    <w:p w:rsidR="00752FA3" w:rsidRDefault="00752FA3" w:rsidP="005E35EF">
      <w:pPr>
        <w:rPr>
          <w:rFonts w:ascii="Roboto" w:eastAsia="Roboto" w:hAnsi="Roboto" w:cs="Roboto"/>
          <w:sz w:val="21"/>
          <w:szCs w:val="21"/>
          <w:highlight w:val="white"/>
        </w:rPr>
      </w:pPr>
    </w:p>
    <w:p w:rsidR="00752FA3" w:rsidRDefault="005E35EF" w:rsidP="005E35EF">
      <w:pPr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rFonts w:ascii="Roboto" w:eastAsia="Roboto" w:hAnsi="Roboto" w:cs="Roboto"/>
          <w:b/>
          <w:color w:val="3D85C6"/>
          <w:sz w:val="21"/>
          <w:szCs w:val="21"/>
          <w:highlight w:val="white"/>
        </w:rPr>
        <w:t>Referencia de contacto</w:t>
      </w:r>
      <w:r>
        <w:rPr>
          <w:rFonts w:ascii="Roboto" w:eastAsia="Roboto" w:hAnsi="Roboto" w:cs="Roboto"/>
          <w:sz w:val="21"/>
          <w:szCs w:val="21"/>
          <w:highlight w:val="white"/>
        </w:rPr>
        <w:t>:</w:t>
      </w:r>
      <w:r>
        <w:rPr>
          <w:rFonts w:ascii="Roboto" w:eastAsia="Roboto" w:hAnsi="Roboto" w:cs="Roboto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b/>
          <w:sz w:val="20"/>
          <w:szCs w:val="20"/>
          <w:highlight w:val="white"/>
        </w:rPr>
        <w:t>GASTON BOIREAU LAHORE</w:t>
      </w:r>
      <w:r>
        <w:rPr>
          <w:rFonts w:ascii="Roboto" w:eastAsia="Roboto" w:hAnsi="Roboto" w:cs="Roboto"/>
          <w:sz w:val="20"/>
          <w:szCs w:val="20"/>
          <w:highlight w:val="white"/>
        </w:rPr>
        <w:br/>
      </w:r>
      <w:proofErr w:type="spellStart"/>
      <w:r>
        <w:rPr>
          <w:rFonts w:ascii="Roboto" w:eastAsia="Roboto" w:hAnsi="Roboto" w:cs="Roboto"/>
          <w:sz w:val="20"/>
          <w:szCs w:val="20"/>
          <w:highlight w:val="white"/>
        </w:rPr>
        <w:t>Partner</w:t>
      </w:r>
      <w:proofErr w:type="spellEnd"/>
      <w:r>
        <w:rPr>
          <w:rFonts w:ascii="Roboto" w:eastAsia="Roboto" w:hAnsi="Roboto" w:cs="Roboto"/>
          <w:sz w:val="20"/>
          <w:szCs w:val="20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  <w:highlight w:val="white"/>
        </w:rPr>
        <w:t>DEIBme</w:t>
      </w:r>
      <w:proofErr w:type="spellEnd"/>
      <w:r>
        <w:rPr>
          <w:rFonts w:ascii="Roboto" w:eastAsia="Roboto" w:hAnsi="Roboto" w:cs="Roboto"/>
          <w:sz w:val="20"/>
          <w:szCs w:val="20"/>
          <w:highlight w:val="white"/>
        </w:rPr>
        <w:t>, Especialista en Aprendizaje y Desarrollo con enfoque en Diversidad e Inclusión</w:t>
      </w:r>
      <w:r>
        <w:rPr>
          <w:rFonts w:ascii="Roboto" w:eastAsia="Roboto" w:hAnsi="Roboto" w:cs="Roboto"/>
          <w:sz w:val="20"/>
          <w:szCs w:val="20"/>
          <w:highlight w:val="white"/>
        </w:rPr>
        <w:br/>
      </w:r>
      <w:r>
        <w:rPr>
          <w:rFonts w:ascii="Roboto" w:eastAsia="Roboto" w:hAnsi="Roboto" w:cs="Roboto"/>
          <w:b/>
          <w:sz w:val="20"/>
          <w:szCs w:val="20"/>
          <w:highlight w:val="white"/>
        </w:rPr>
        <w:t>Correo electrónico</w:t>
      </w:r>
      <w:r>
        <w:rPr>
          <w:rFonts w:ascii="Roboto" w:eastAsia="Roboto" w:hAnsi="Roboto" w:cs="Roboto"/>
          <w:sz w:val="20"/>
          <w:szCs w:val="20"/>
          <w:highlight w:val="white"/>
        </w:rPr>
        <w:t>: gaston@deibme.com</w:t>
      </w:r>
    </w:p>
    <w:p w:rsidR="00752FA3" w:rsidRDefault="005E35EF" w:rsidP="005E35EF">
      <w:pPr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rFonts w:ascii="Roboto" w:eastAsia="Roboto" w:hAnsi="Roboto" w:cs="Roboto"/>
          <w:b/>
          <w:sz w:val="20"/>
          <w:szCs w:val="20"/>
          <w:highlight w:val="white"/>
        </w:rPr>
        <w:t>Teléfono (</w:t>
      </w:r>
      <w:proofErr w:type="spellStart"/>
      <w:r>
        <w:rPr>
          <w:rFonts w:ascii="Roboto" w:eastAsia="Roboto" w:hAnsi="Roboto" w:cs="Roboto"/>
          <w:b/>
          <w:sz w:val="20"/>
          <w:szCs w:val="20"/>
          <w:highlight w:val="white"/>
        </w:rPr>
        <w:t>WhatsApp</w:t>
      </w:r>
      <w:proofErr w:type="spellEnd"/>
      <w:r>
        <w:rPr>
          <w:rFonts w:ascii="Roboto" w:eastAsia="Roboto" w:hAnsi="Roboto" w:cs="Roboto"/>
          <w:b/>
          <w:sz w:val="20"/>
          <w:szCs w:val="20"/>
          <w:highlight w:val="white"/>
        </w:rPr>
        <w:t>)</w:t>
      </w:r>
      <w:r>
        <w:rPr>
          <w:rFonts w:ascii="Roboto" w:eastAsia="Roboto" w:hAnsi="Roboto" w:cs="Roboto"/>
          <w:sz w:val="20"/>
          <w:szCs w:val="20"/>
          <w:highlight w:val="white"/>
        </w:rPr>
        <w:t xml:space="preserve">: </w:t>
      </w:r>
      <w:bdo w:val="ltr">
        <w:r>
          <w:rPr>
            <w:rFonts w:ascii="Roboto" w:eastAsia="Roboto" w:hAnsi="Roboto" w:cs="Roboto"/>
            <w:sz w:val="20"/>
            <w:szCs w:val="20"/>
            <w:highlight w:val="white"/>
          </w:rPr>
          <w:t>11 6676 3942</w:t>
        </w:r>
        <w:r>
          <w:rPr>
            <w:rFonts w:ascii="Roboto" w:eastAsia="Roboto" w:hAnsi="Roboto" w:cs="Roboto"/>
            <w:sz w:val="20"/>
            <w:szCs w:val="20"/>
            <w:highlight w:val="white"/>
          </w:rPr>
          <w:t>‬</w:t>
        </w:r>
      </w:bdo>
    </w:p>
    <w:p w:rsidR="00752FA3" w:rsidRDefault="005E35EF" w:rsidP="005E35EF">
      <w:pPr>
        <w:rPr>
          <w:b/>
          <w:sz w:val="46"/>
          <w:szCs w:val="46"/>
        </w:rPr>
      </w:pPr>
      <w:r>
        <w:pict>
          <v:rect id="_x0000_i1025" style="width:0;height:1.5pt" o:hrstd="t" o:hr="t" fillcolor="#a0a0a0" stroked="f"/>
        </w:pict>
      </w:r>
      <w:r>
        <w:rPr>
          <w:b/>
          <w:sz w:val="46"/>
          <w:szCs w:val="46"/>
        </w:rPr>
        <w:t>Encuesta regional sobre Diversidad, Equidad e Inclusión ya disponible para responder en toda América Latina.</w:t>
      </w:r>
    </w:p>
    <w:p w:rsidR="00752FA3" w:rsidRDefault="005E35EF" w:rsidP="005E35EF">
      <w:pPr>
        <w:spacing w:before="240" w:after="240"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La propuesta está impulsada por especialistas de la Comunidad DEIB de </w:t>
      </w:r>
      <w:proofErr w:type="spellStart"/>
      <w:r>
        <w:rPr>
          <w:i/>
          <w:sz w:val="20"/>
          <w:szCs w:val="20"/>
        </w:rPr>
        <w:t>AdRHA</w:t>
      </w:r>
      <w:proofErr w:type="spellEnd"/>
      <w:r>
        <w:rPr>
          <w:i/>
          <w:sz w:val="20"/>
          <w:szCs w:val="20"/>
        </w:rPr>
        <w:t xml:space="preserve"> y la consultora </w:t>
      </w:r>
      <w:proofErr w:type="spellStart"/>
      <w:r>
        <w:rPr>
          <w:i/>
          <w:sz w:val="20"/>
          <w:szCs w:val="20"/>
        </w:rPr>
        <w:t>DEIBme</w:t>
      </w:r>
      <w:proofErr w:type="spellEnd"/>
      <w:r>
        <w:rPr>
          <w:i/>
          <w:sz w:val="20"/>
          <w:szCs w:val="20"/>
        </w:rPr>
        <w:t>, con el acompañamiento de organizaciones comprom</w:t>
      </w:r>
      <w:r>
        <w:rPr>
          <w:i/>
          <w:sz w:val="20"/>
          <w:szCs w:val="20"/>
        </w:rPr>
        <w:t>etidas con la diversidad e inclusión como Fundación DISCAR, Diagonal Asociación Civil, CARICOM y la Universidad Técnica del Norte, entre otras.</w:t>
      </w:r>
    </w:p>
    <w:p w:rsidR="00752FA3" w:rsidRDefault="005E35EF" w:rsidP="005E35EF">
      <w:pPr>
        <w:spacing w:before="240" w:after="240" w:line="360" w:lineRule="auto"/>
        <w:rPr>
          <w:sz w:val="20"/>
          <w:szCs w:val="20"/>
        </w:rPr>
      </w:pPr>
      <w:r>
        <w:rPr>
          <w:b/>
          <w:sz w:val="20"/>
          <w:szCs w:val="20"/>
        </w:rPr>
        <w:t>Buenos Aires, 24 de junio de 2025</w:t>
      </w:r>
      <w:r>
        <w:rPr>
          <w:sz w:val="20"/>
          <w:szCs w:val="20"/>
        </w:rPr>
        <w:t xml:space="preserve"> — Ya se encuentra abierta al público la </w:t>
      </w:r>
      <w:r>
        <w:rPr>
          <w:i/>
          <w:sz w:val="20"/>
          <w:szCs w:val="20"/>
        </w:rPr>
        <w:t>Encuesta sobre Diversidad, Equidad, In</w:t>
      </w:r>
      <w:r>
        <w:rPr>
          <w:i/>
          <w:sz w:val="20"/>
          <w:szCs w:val="20"/>
        </w:rPr>
        <w:t>clusión y Pertenencia en América Latina 2025</w:t>
      </w:r>
      <w:r>
        <w:rPr>
          <w:sz w:val="20"/>
          <w:szCs w:val="20"/>
        </w:rPr>
        <w:t xml:space="preserve">, una iniciativa regional que busca relevar las percepciones, experiencias y desafíos en los lugares de trabajo de distintos países de la región. Esta investigación está liderada por la consultora </w:t>
      </w:r>
      <w:proofErr w:type="spellStart"/>
      <w:r>
        <w:rPr>
          <w:sz w:val="20"/>
          <w:szCs w:val="20"/>
        </w:rPr>
        <w:t>DEIBme</w:t>
      </w:r>
      <w:proofErr w:type="spellEnd"/>
      <w:r>
        <w:rPr>
          <w:sz w:val="20"/>
          <w:szCs w:val="20"/>
        </w:rPr>
        <w:t xml:space="preserve"> junto a </w:t>
      </w:r>
      <w:r>
        <w:rPr>
          <w:sz w:val="20"/>
          <w:szCs w:val="20"/>
        </w:rPr>
        <w:t>la Comunidad DEIB (Diversidad, Equidad, Inclusión y Pertenencia) de la Asociación de Recursos Humanos de la Argentina (</w:t>
      </w:r>
      <w:proofErr w:type="spellStart"/>
      <w:r>
        <w:rPr>
          <w:sz w:val="20"/>
          <w:szCs w:val="20"/>
        </w:rPr>
        <w:t>AdRHA</w:t>
      </w:r>
      <w:proofErr w:type="spellEnd"/>
      <w:r>
        <w:rPr>
          <w:sz w:val="20"/>
          <w:szCs w:val="20"/>
        </w:rPr>
        <w:t>), y se estructura sobre una metodología que combina datos cuantitativos y cualitativos.</w:t>
      </w:r>
    </w:p>
    <w:p w:rsidR="00752FA3" w:rsidRDefault="005E35EF" w:rsidP="005E35EF">
      <w:pPr>
        <w:spacing w:before="240" w:after="240" w:line="360" w:lineRule="auto"/>
        <w:rPr>
          <w:sz w:val="20"/>
          <w:szCs w:val="20"/>
        </w:rPr>
      </w:pPr>
      <w:r>
        <w:rPr>
          <w:sz w:val="20"/>
          <w:szCs w:val="20"/>
        </w:rPr>
        <w:t>El cuestionario está disponible en</w:t>
      </w:r>
      <w:hyperlink r:id="rId12">
        <w:r>
          <w:rPr>
            <w:sz w:val="20"/>
            <w:szCs w:val="20"/>
          </w:rPr>
          <w:t xml:space="preserve"> </w:t>
        </w:r>
      </w:hyperlink>
      <w:hyperlink r:id="rId13">
        <w:r>
          <w:rPr>
            <w:color w:val="1155CC"/>
            <w:sz w:val="20"/>
            <w:szCs w:val="20"/>
            <w:u w:val="single"/>
          </w:rPr>
          <w:t>www.deibme.com/relevamiento2025</w:t>
        </w:r>
      </w:hyperlink>
      <w:r>
        <w:rPr>
          <w:sz w:val="20"/>
          <w:szCs w:val="20"/>
        </w:rPr>
        <w:t xml:space="preserve"> y puede ser respondido por cualquier persona que trabaje en una organización, sin importar el sector, el tamaño de</w:t>
      </w:r>
      <w:r>
        <w:rPr>
          <w:sz w:val="20"/>
          <w:szCs w:val="20"/>
        </w:rPr>
        <w:t xml:space="preserve"> la empresa ni el país en el que se encuentre. Se trata de un instrumento accesible, con secciones temáticas que se pueden elegir libremente, y cuyas respuestas serán tratadas de forma completamente anónima y confidencial.</w:t>
      </w:r>
    </w:p>
    <w:p w:rsidR="00752FA3" w:rsidRDefault="005E35EF" w:rsidP="005E35EF">
      <w:pPr>
        <w:spacing w:before="240" w:after="240" w:line="360" w:lineRule="auto"/>
        <w:rPr>
          <w:sz w:val="20"/>
          <w:szCs w:val="20"/>
        </w:rPr>
      </w:pPr>
      <w:r>
        <w:rPr>
          <w:sz w:val="20"/>
          <w:szCs w:val="20"/>
        </w:rPr>
        <w:t>La encuesta está organizada en ci</w:t>
      </w:r>
      <w:r>
        <w:rPr>
          <w:sz w:val="20"/>
          <w:szCs w:val="20"/>
        </w:rPr>
        <w:t>nco bloques temáticos que abordan desde políticas inclusivas hasta sesgos inconscientes, accesibilidad y sentido de pertenencia. Se podrá responder hasta el 31 de julio y los resultados preliminares serán compartidos en agosto a través de un informe, con c</w:t>
      </w:r>
      <w:r>
        <w:rPr>
          <w:sz w:val="20"/>
          <w:szCs w:val="20"/>
        </w:rPr>
        <w:t>omparaciones regionales, buenas prácticas identificadas y recomendaciones para instituciones, liderazgos y equipos de recursos humanos.</w:t>
      </w:r>
    </w:p>
    <w:p w:rsidR="00752FA3" w:rsidRDefault="005E35EF" w:rsidP="005E35EF">
      <w:pPr>
        <w:spacing w:before="240" w:after="240"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“El relevamiento surge en un contexto regional donde muchas políticas de inclusión están siendo desfinanciadas o directa</w:t>
      </w:r>
      <w:r>
        <w:rPr>
          <w:sz w:val="20"/>
          <w:szCs w:val="20"/>
        </w:rPr>
        <w:t>mente desarticuladas. Necesitamos producir información propia, basada en lo que las personas viven en sus trabajos, para generar decisiones más justas y sostenibles. Esta herramienta nos permite mapear brechas, pero también destacar experiencias valiosas q</w:t>
      </w:r>
      <w:r>
        <w:rPr>
          <w:sz w:val="20"/>
          <w:szCs w:val="20"/>
        </w:rPr>
        <w:t xml:space="preserve">ue ya están haciendo diferencia”, señalan Cecilia </w:t>
      </w:r>
      <w:proofErr w:type="spellStart"/>
      <w:r>
        <w:rPr>
          <w:sz w:val="20"/>
          <w:szCs w:val="20"/>
        </w:rPr>
        <w:t>Klappenbach</w:t>
      </w:r>
      <w:proofErr w:type="spellEnd"/>
      <w:r>
        <w:rPr>
          <w:sz w:val="20"/>
          <w:szCs w:val="20"/>
        </w:rPr>
        <w:t xml:space="preserve">, Luis </w:t>
      </w:r>
      <w:proofErr w:type="spellStart"/>
      <w:r>
        <w:rPr>
          <w:sz w:val="20"/>
          <w:szCs w:val="20"/>
        </w:rPr>
        <w:t>Etchenique</w:t>
      </w:r>
      <w:proofErr w:type="spellEnd"/>
      <w:r>
        <w:rPr>
          <w:sz w:val="20"/>
          <w:szCs w:val="20"/>
        </w:rPr>
        <w:t xml:space="preserve"> y Gastón </w:t>
      </w:r>
      <w:proofErr w:type="spellStart"/>
      <w:r>
        <w:rPr>
          <w:sz w:val="20"/>
          <w:szCs w:val="20"/>
        </w:rPr>
        <w:t>Boireau</w:t>
      </w:r>
      <w:proofErr w:type="spellEnd"/>
      <w:r>
        <w:rPr>
          <w:sz w:val="20"/>
          <w:szCs w:val="20"/>
        </w:rPr>
        <w:t xml:space="preserve"> Lahore, del equipo de referentes de la investigación.</w:t>
      </w:r>
    </w:p>
    <w:p w:rsidR="00752FA3" w:rsidRDefault="005E35EF" w:rsidP="005E35EF">
      <w:pPr>
        <w:spacing w:before="240" w:after="240" w:line="360" w:lineRule="auto"/>
        <w:rPr>
          <w:sz w:val="20"/>
          <w:szCs w:val="20"/>
        </w:rPr>
      </w:pPr>
      <w:r>
        <w:rPr>
          <w:sz w:val="20"/>
          <w:szCs w:val="20"/>
        </w:rPr>
        <w:t>Durante los meses previos se diseñó y validó la herramienta metodológica, con participación de personas ex</w:t>
      </w:r>
      <w:r>
        <w:rPr>
          <w:sz w:val="20"/>
          <w:szCs w:val="20"/>
        </w:rPr>
        <w:t>pertas en género, discapacidad y diversidad sexual. En paralelo, se establecieron alianzas con redes, cámaras empresariales y organizaciones sociales de distintos países, entre ellas Fundación DISCAR (Argentina), Diagonal Asociación Civil (Argentina), Ofic</w:t>
      </w:r>
      <w:r>
        <w:rPr>
          <w:sz w:val="20"/>
          <w:szCs w:val="20"/>
        </w:rPr>
        <w:t xml:space="preserve">ina para Mercosur del Consejo de Comercio e Inversiones del </w:t>
      </w:r>
      <w:proofErr w:type="spellStart"/>
      <w:r>
        <w:rPr>
          <w:sz w:val="20"/>
          <w:szCs w:val="20"/>
        </w:rPr>
        <w:t>Caricom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CCICaMe</w:t>
      </w:r>
      <w:proofErr w:type="spellEnd"/>
      <w:r>
        <w:rPr>
          <w:sz w:val="20"/>
          <w:szCs w:val="20"/>
        </w:rPr>
        <w:t>) y la Universidad Técnica del Norte (Ecuador), que están promoviendo activamente la participación en sus equipos y comunidades.</w:t>
      </w:r>
    </w:p>
    <w:p w:rsidR="00752FA3" w:rsidRDefault="005E35EF" w:rsidP="005E35EF">
      <w:pPr>
        <w:spacing w:before="240" w:after="24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¿Cómo participar?</w:t>
      </w:r>
    </w:p>
    <w:p w:rsidR="00752FA3" w:rsidRDefault="005E35EF" w:rsidP="005E35EF">
      <w:pPr>
        <w:numPr>
          <w:ilvl w:val="0"/>
          <w:numId w:val="1"/>
        </w:numPr>
        <w:spacing w:before="240" w:line="360" w:lineRule="auto"/>
        <w:rPr>
          <w:sz w:val="20"/>
          <w:szCs w:val="20"/>
        </w:rPr>
      </w:pPr>
      <w:r>
        <w:rPr>
          <w:sz w:val="20"/>
          <w:szCs w:val="20"/>
        </w:rPr>
        <w:t>Ingresar a</w:t>
      </w:r>
      <w:hyperlink r:id="rId14">
        <w:r>
          <w:rPr>
            <w:sz w:val="20"/>
            <w:szCs w:val="20"/>
          </w:rPr>
          <w:t xml:space="preserve"> </w:t>
        </w:r>
      </w:hyperlink>
      <w:hyperlink r:id="rId15">
        <w:r>
          <w:rPr>
            <w:color w:val="1155CC"/>
            <w:sz w:val="20"/>
            <w:szCs w:val="20"/>
            <w:u w:val="single"/>
          </w:rPr>
          <w:t>www.deibme.com/relevamiento2025</w:t>
        </w:r>
      </w:hyperlink>
      <w:r>
        <w:rPr>
          <w:sz w:val="20"/>
          <w:szCs w:val="20"/>
        </w:rPr>
        <w:t xml:space="preserve"> y responder la encuesta (toma aproximadamente 10 minutos el total de preguntas, con opción de elegir qué bloques completar).</w:t>
      </w:r>
      <w:r>
        <w:rPr>
          <w:sz w:val="20"/>
          <w:szCs w:val="20"/>
        </w:rPr>
        <w:br/>
      </w:r>
    </w:p>
    <w:p w:rsidR="00752FA3" w:rsidRDefault="005E35EF" w:rsidP="005E35EF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Co</w:t>
      </w:r>
      <w:r>
        <w:rPr>
          <w:sz w:val="20"/>
          <w:szCs w:val="20"/>
        </w:rPr>
        <w:t>mpartir el enlace con otras personas y organizaciones para ampliar la muestra y sumar voces diversas.</w:t>
      </w:r>
      <w:r>
        <w:rPr>
          <w:sz w:val="20"/>
          <w:szCs w:val="20"/>
        </w:rPr>
        <w:br/>
      </w:r>
    </w:p>
    <w:p w:rsidR="00752FA3" w:rsidRDefault="005E35EF" w:rsidP="005E35EF">
      <w:pPr>
        <w:numPr>
          <w:ilvl w:val="0"/>
          <w:numId w:val="1"/>
        </w:numPr>
        <w:spacing w:after="240" w:line="360" w:lineRule="auto"/>
        <w:rPr>
          <w:sz w:val="20"/>
          <w:szCs w:val="20"/>
        </w:rPr>
      </w:pPr>
      <w:r>
        <w:rPr>
          <w:sz w:val="20"/>
          <w:szCs w:val="20"/>
        </w:rPr>
        <w:t>Dejar un correo de contacto al final para recibir el informe ejecutivo con los principales hallazgos.</w:t>
      </w:r>
      <w:r>
        <w:rPr>
          <w:sz w:val="20"/>
          <w:szCs w:val="20"/>
        </w:rPr>
        <w:br/>
      </w:r>
    </w:p>
    <w:p w:rsidR="00752FA3" w:rsidRDefault="005E35EF" w:rsidP="005E35EF">
      <w:pPr>
        <w:spacing w:before="240" w:after="240" w:line="360" w:lineRule="auto"/>
        <w:rPr>
          <w:sz w:val="20"/>
          <w:szCs w:val="20"/>
        </w:rPr>
      </w:pPr>
      <w:r>
        <w:rPr>
          <w:sz w:val="20"/>
          <w:szCs w:val="20"/>
        </w:rPr>
        <w:t>Las desigualdades que persisten en la región no so</w:t>
      </w:r>
      <w:r>
        <w:rPr>
          <w:sz w:val="20"/>
          <w:szCs w:val="20"/>
        </w:rPr>
        <w:t xml:space="preserve">n una percepción aislada, sino un fenómeno documentado en múltiples estudios. En Brasil, por ejemplo, las brechas salariales entre mujeres </w:t>
      </w:r>
      <w:proofErr w:type="spellStart"/>
      <w:r>
        <w:rPr>
          <w:sz w:val="20"/>
          <w:szCs w:val="20"/>
        </w:rPr>
        <w:t>afrodescendientes</w:t>
      </w:r>
      <w:proofErr w:type="spellEnd"/>
      <w:r>
        <w:rPr>
          <w:sz w:val="20"/>
          <w:szCs w:val="20"/>
        </w:rPr>
        <w:t xml:space="preserve"> y varones blancos superan el 40%. En Argentina, las personas con discapacidad casi no acceden a pos</w:t>
      </w:r>
      <w:r>
        <w:rPr>
          <w:sz w:val="20"/>
          <w:szCs w:val="20"/>
        </w:rPr>
        <w:t>iciones de liderazgo: representan menos del 1% en cargos directivos. Y en Colombia, la mayoría del talento LGBTQ+ prefiere ocultar su orientación sexual por temor a perder oportunidades de crecimiento profesional.</w:t>
      </w:r>
    </w:p>
    <w:p w:rsidR="00752FA3" w:rsidRDefault="005E35EF" w:rsidP="005E35EF">
      <w:pPr>
        <w:spacing w:before="240" w:after="240" w:line="360" w:lineRule="auto"/>
        <w:rPr>
          <w:sz w:val="20"/>
          <w:szCs w:val="20"/>
        </w:rPr>
      </w:pPr>
      <w:r>
        <w:rPr>
          <w:sz w:val="20"/>
          <w:szCs w:val="20"/>
        </w:rPr>
        <w:t>En este escenario, impulsar diagnósticos c</w:t>
      </w:r>
      <w:r>
        <w:rPr>
          <w:sz w:val="20"/>
          <w:szCs w:val="20"/>
        </w:rPr>
        <w:t>olaborativos y situados es una forma de construir decisiones más informadas y responsables, con base en evidencias que reflejan lo que ocurre dentro de las organizaciones.</w:t>
      </w:r>
    </w:p>
    <w:sectPr w:rsidR="00752FA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15378"/>
    <w:multiLevelType w:val="multilevel"/>
    <w:tmpl w:val="F1063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52FA3"/>
    <w:rsid w:val="005E35EF"/>
    <w:rsid w:val="0075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rha.org.ar/" TargetMode="External"/><Relationship Id="rId13" Type="http://schemas.openxmlformats.org/officeDocument/2006/relationships/hyperlink" Target="https://www.deibme.com/relevamiento20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eibme.com/" TargetMode="External"/><Relationship Id="rId12" Type="http://schemas.openxmlformats.org/officeDocument/2006/relationships/hyperlink" Target="https://www.deibme.com/relevamiento202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gastonboireau/?lipi=urn%3Ali%3Apage%3Ad_flagship3_pulse_read%3BoEFNIaCVTGuTdi%2FjyMgmOg%3D%3D" TargetMode="External"/><Relationship Id="rId11" Type="http://schemas.openxmlformats.org/officeDocument/2006/relationships/hyperlink" Target="https://www.adrha.org.a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eibme.com/relevamiento2025" TargetMode="External"/><Relationship Id="rId10" Type="http://schemas.openxmlformats.org/officeDocument/2006/relationships/hyperlink" Target="https://deibm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luisetchenique/?lipi=urn%3Ali%3Apage%3Ad_flagship3_pulse_read%3BoEFNIaCVTGuTdi%2FjyMgmOg%3D%3D" TargetMode="External"/><Relationship Id="rId14" Type="http://schemas.openxmlformats.org/officeDocument/2006/relationships/hyperlink" Target="https://www.deibme.com/relevamiento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805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Mailing de Prensa</cp:lastModifiedBy>
  <cp:revision>2</cp:revision>
  <dcterms:created xsi:type="dcterms:W3CDTF">2025-06-24T16:01:00Z</dcterms:created>
  <dcterms:modified xsi:type="dcterms:W3CDTF">2025-06-24T16:01:00Z</dcterms:modified>
</cp:coreProperties>
</file>